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F83230" w:rsidP="00305664">
      <w:pPr>
        <w:pStyle w:val="Header"/>
        <w:widowControl w:val="0"/>
        <w:rPr>
          <w:rFonts w:ascii="Arial" w:hAnsi="Arial" w:cs="Arial"/>
          <w:b/>
          <w:bCs/>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0024E0">
        <w:rPr>
          <w:rFonts w:ascii="Arial" w:hAnsi="Arial" w:cs="Arial"/>
          <w:b/>
          <w:bCs/>
          <w:lang w:val="en-GB"/>
        </w:rPr>
        <w:t>10</w:t>
      </w:r>
      <w:r w:rsidR="009C132A">
        <w:rPr>
          <w:rFonts w:ascii="Arial" w:hAnsi="Arial" w:cs="Arial"/>
          <w:b/>
          <w:bCs/>
          <w:lang w:val="en-GB"/>
        </w:rPr>
        <w:t>6</w:t>
      </w:r>
      <w:r w:rsidR="000024E0" w:rsidRPr="00BD722C">
        <w:rPr>
          <w:rFonts w:ascii="Arial" w:hAnsi="Arial" w:cs="Arial"/>
          <w:b/>
          <w:bCs/>
          <w:lang w:val="en-GB"/>
        </w:rPr>
        <w:t xml:space="preserve">                                       </w:t>
      </w:r>
      <w:r w:rsidRPr="00BD722C">
        <w:rPr>
          <w:rFonts w:ascii="Arial" w:hAnsi="Arial" w:cs="Arial"/>
          <w:b/>
          <w:bCs/>
          <w:lang w:val="en-GB"/>
        </w:rPr>
        <w:tab/>
      </w:r>
      <w:r w:rsidR="00A61EB9">
        <w:rPr>
          <w:rFonts w:ascii="Arial" w:hAnsi="Arial" w:cs="Arial"/>
          <w:b/>
          <w:bCs/>
          <w:lang w:val="en-GB"/>
        </w:rPr>
        <w:t>R2-190</w:t>
      </w:r>
      <w:r w:rsidR="0085770D">
        <w:rPr>
          <w:rFonts w:ascii="Arial" w:hAnsi="Arial" w:cs="Arial"/>
          <w:b/>
          <w:bCs/>
          <w:lang w:val="en-GB"/>
        </w:rPr>
        <w:t>7153</w:t>
      </w:r>
      <w:bookmarkStart w:id="0" w:name="_GoBack"/>
      <w:bookmarkEnd w:id="0"/>
    </w:p>
    <w:p w:rsidR="00F83230" w:rsidRPr="00BD722C" w:rsidRDefault="00002D3A" w:rsidP="00002D3A">
      <w:pPr>
        <w:pStyle w:val="Header"/>
        <w:widowControl w:val="0"/>
        <w:jc w:val="right"/>
        <w:rPr>
          <w:rFonts w:ascii="Arial" w:hAnsi="Arial" w:cs="Arial"/>
          <w:b/>
          <w:bCs/>
          <w:highlight w:val="yellow"/>
          <w:lang w:val="en-GB"/>
        </w:rPr>
      </w:pPr>
      <w:r>
        <w:rPr>
          <w:rFonts w:ascii="Arial" w:hAnsi="Arial" w:cs="Arial"/>
          <w:b/>
          <w:bCs/>
          <w:lang w:val="en-GB"/>
        </w:rPr>
        <w:t xml:space="preserve">Was </w:t>
      </w:r>
      <w:r w:rsidR="00A61EB9">
        <w:rPr>
          <w:rFonts w:ascii="Arial" w:hAnsi="Arial" w:cs="Arial"/>
          <w:b/>
          <w:bCs/>
          <w:lang w:val="en-GB"/>
        </w:rPr>
        <w:t xml:space="preserve">R2-1904454, </w:t>
      </w:r>
      <w:r w:rsidR="00F53939" w:rsidRPr="00F53939">
        <w:rPr>
          <w:rFonts w:ascii="Arial" w:hAnsi="Arial" w:cs="Arial"/>
          <w:b/>
          <w:bCs/>
          <w:lang w:val="en-GB"/>
        </w:rPr>
        <w:t>R2-</w:t>
      </w:r>
      <w:r w:rsidR="000024E0" w:rsidRPr="00F53939">
        <w:rPr>
          <w:rFonts w:ascii="Arial" w:hAnsi="Arial" w:cs="Arial"/>
          <w:b/>
          <w:bCs/>
          <w:lang w:val="en-GB"/>
        </w:rPr>
        <w:t>1</w:t>
      </w:r>
      <w:r w:rsidR="000024E0">
        <w:rPr>
          <w:rFonts w:ascii="Arial" w:hAnsi="Arial" w:cs="Arial"/>
          <w:b/>
          <w:bCs/>
          <w:lang w:val="en-GB"/>
        </w:rPr>
        <w:t>9</w:t>
      </w:r>
      <w:r w:rsidR="00F272C3">
        <w:rPr>
          <w:rFonts w:ascii="Arial" w:hAnsi="Arial" w:cs="Arial"/>
          <w:b/>
          <w:bCs/>
          <w:lang w:val="en-GB"/>
        </w:rPr>
        <w:t>01212</w:t>
      </w:r>
    </w:p>
    <w:p w:rsidR="00F83230" w:rsidRPr="00BD722C" w:rsidRDefault="009C132A" w:rsidP="0051520E">
      <w:pPr>
        <w:pStyle w:val="Header"/>
        <w:widowControl w:val="0"/>
        <w:tabs>
          <w:tab w:val="right" w:pos="9781"/>
        </w:tabs>
        <w:ind w:right="-58"/>
        <w:rPr>
          <w:rFonts w:ascii="Arial" w:hAnsi="Arial" w:cs="Arial"/>
          <w:b/>
          <w:bCs/>
          <w:highlight w:val="yellow"/>
          <w:lang w:val="en-GB"/>
        </w:rPr>
      </w:pPr>
      <w:r w:rsidRPr="009C132A">
        <w:rPr>
          <w:rFonts w:ascii="Arial" w:hAnsi="Arial" w:cs="Arial"/>
          <w:b/>
          <w:bCs/>
          <w:lang w:val="en-GB"/>
        </w:rPr>
        <w:t>Reno, USA, 13th May – 17th May,</w:t>
      </w:r>
      <w:r w:rsidR="003338B4" w:rsidRPr="003338B4">
        <w:rPr>
          <w:rFonts w:ascii="Arial" w:hAnsi="Arial" w:cs="Arial"/>
          <w:b/>
          <w:bCs/>
          <w:lang w:val="en-GB"/>
        </w:rPr>
        <w:t xml:space="preserve"> 201</w:t>
      </w:r>
      <w:r w:rsidR="000024E0">
        <w:rPr>
          <w:rFonts w:ascii="Arial" w:hAnsi="Arial" w:cs="Arial"/>
          <w:b/>
          <w:bCs/>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514D36" w:rsidRDefault="00514D36" w:rsidP="00514D36">
            <w:pPr>
              <w:rPr>
                <w:rFonts w:ascii="Calibri" w:hAnsi="Calibri"/>
                <w:color w:val="1F497D"/>
                <w:lang w:val="en-GB"/>
              </w:rPr>
            </w:pPr>
            <w:r>
              <w:rPr>
                <w:rFonts w:ascii="Calibri" w:hAnsi="Calibri"/>
                <w:color w:val="1F497D"/>
                <w:lang w:val="en-GB"/>
              </w:rPr>
              <w:t>RAN1 AH1901:</w:t>
            </w:r>
          </w:p>
          <w:p w:rsidR="00514D36" w:rsidRPr="001243DE" w:rsidRDefault="00514D36" w:rsidP="00514D36">
            <w:pPr>
              <w:rPr>
                <w:rFonts w:cs="Times"/>
                <w:szCs w:val="20"/>
                <w:lang w:eastAsia="x-none"/>
              </w:rPr>
            </w:pPr>
            <w:r w:rsidRPr="001243DE">
              <w:rPr>
                <w:rFonts w:cs="Times"/>
                <w:szCs w:val="20"/>
                <w:highlight w:val="green"/>
                <w:lang w:eastAsia="x-none"/>
              </w:rPr>
              <w:t>Agreement:</w:t>
            </w:r>
          </w:p>
          <w:p w:rsidR="00514D36" w:rsidRPr="001243DE" w:rsidRDefault="00514D36" w:rsidP="00514D36">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rsidR="00514D36" w:rsidRPr="001243DE" w:rsidRDefault="00514D36" w:rsidP="00514D36">
            <w:pPr>
              <w:numPr>
                <w:ilvl w:val="0"/>
                <w:numId w:val="31"/>
              </w:numPr>
              <w:autoSpaceDE/>
              <w:autoSpaceDN/>
              <w:adjustRightInd/>
              <w:snapToGrid/>
              <w:spacing w:after="0"/>
              <w:rPr>
                <w:rFonts w:cs="Times"/>
                <w:szCs w:val="20"/>
                <w:lang w:eastAsia="x-none"/>
              </w:rPr>
            </w:pPr>
            <w:r w:rsidRPr="001243DE">
              <w:rPr>
                <w:rFonts w:cs="Times"/>
                <w:szCs w:val="20"/>
                <w:lang w:eastAsia="x-none"/>
              </w:rPr>
              <w:t>Inform RAN2 of this decision</w:t>
            </w:r>
          </w:p>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lastRenderedPageBreak/>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t xml:space="preserve">Further, a UE may or may not have PRACH configured in the current BWP. When it needs to send PRACH (Msg1) CCA may/may not succeed. Therefore, to increase the transmission diversity of Msg1 it is proposed that the UE performs CCA on other configured BWP(s) as well and perform Msg1 transmission on the BWP. This choice of other BWP may </w:t>
      </w:r>
      <w:r w:rsidR="00514D36">
        <w:rPr>
          <w:lang w:val="en-GB"/>
        </w:rPr>
        <w:t>imply switching the Active BWP accordingly</w:t>
      </w:r>
      <w:r>
        <w:rPr>
          <w:lang w:val="en-GB"/>
        </w:rPr>
        <w:t>.</w:t>
      </w:r>
      <w:r w:rsidR="00514D36">
        <w:rPr>
          <w:lang w:val="en-GB"/>
        </w:rPr>
        <w:t xml:space="preserve"> We need however confirmation from RAN1/RAN4 that performing LBT/CCA operation on more than one BWP is </w:t>
      </w:r>
      <w:r w:rsidR="00984D7F">
        <w:rPr>
          <w:lang w:val="en-GB"/>
        </w:rPr>
        <w:t>feasible</w:t>
      </w:r>
      <w:r w:rsidR="00514D36">
        <w:rPr>
          <w:lang w:val="en-GB"/>
        </w:rPr>
        <w:t>.</w:t>
      </w:r>
    </w:p>
    <w:p w:rsidR="00984D7F" w:rsidRDefault="00984D7F" w:rsidP="00904938">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850DA9" w:rsidRPr="00B00AC9" w:rsidRDefault="00850DA9" w:rsidP="00904938">
      <w:pPr>
        <w:rPr>
          <w:b/>
          <w:lang w:val="en-GB"/>
        </w:rPr>
      </w:pPr>
      <w:r w:rsidRPr="00B00AC9">
        <w:rPr>
          <w:b/>
          <w:lang w:val="en-GB"/>
        </w:rPr>
        <w:t xml:space="preserve">Proposal </w:t>
      </w:r>
      <w:r w:rsidR="00984D7F">
        <w:rPr>
          <w:b/>
          <w:lang w:val="en-GB"/>
        </w:rPr>
        <w:t>2</w:t>
      </w:r>
      <w:r w:rsidRPr="00B00AC9">
        <w:rPr>
          <w:b/>
          <w:lang w:val="en-GB"/>
        </w:rPr>
        <w:t xml:space="preserve">: A UE may perform CCA/LBT </w:t>
      </w:r>
      <w:r w:rsidR="00514D36">
        <w:rPr>
          <w:b/>
          <w:lang w:val="en-GB"/>
        </w:rPr>
        <w:t xml:space="preserve">for Msg 1 </w:t>
      </w:r>
      <w:r w:rsidRPr="00B00AC9">
        <w:rPr>
          <w:b/>
          <w:lang w:val="en-GB"/>
        </w:rPr>
        <w:t xml:space="preserve">on any configured </w:t>
      </w:r>
      <w:r w:rsidR="00984D7F">
        <w:rPr>
          <w:b/>
          <w:lang w:val="en-GB"/>
        </w:rPr>
        <w:t xml:space="preserve">UL </w:t>
      </w:r>
      <w:r w:rsidRPr="00B00AC9">
        <w:rPr>
          <w:b/>
          <w:lang w:val="en-GB"/>
        </w:rPr>
        <w:t>BWP.</w:t>
      </w:r>
    </w:p>
    <w:p w:rsidR="00850DA9" w:rsidRDefault="00850DA9" w:rsidP="00904938">
      <w:pPr>
        <w:rPr>
          <w:lang w:val="en-GB"/>
        </w:rPr>
      </w:pPr>
      <w:r>
        <w:rPr>
          <w:lang w:val="en-GB"/>
        </w:rPr>
        <w:t xml:space="preserve">If the CCA Succeeds for a BWP that is not the </w:t>
      </w:r>
      <w:r w:rsidR="00514D36">
        <w:rPr>
          <w:lang w:val="en-GB"/>
        </w:rPr>
        <w:t xml:space="preserve">Active UL </w:t>
      </w:r>
      <w:r>
        <w:rPr>
          <w:lang w:val="en-GB"/>
        </w:rPr>
        <w:t xml:space="preserve">BWP, the UE shall initiate RACH procedure there and consider this one as the </w:t>
      </w:r>
      <w:r w:rsidR="00514D36">
        <w:rPr>
          <w:lang w:val="en-GB"/>
        </w:rPr>
        <w:t xml:space="preserve">Active UL </w:t>
      </w:r>
      <w:r>
        <w:rPr>
          <w:lang w:val="en-GB"/>
        </w:rPr>
        <w:t>BWP</w:t>
      </w:r>
      <w:r w:rsidR="00514D36">
        <w:rPr>
          <w:lang w:val="en-GB"/>
        </w:rPr>
        <w:t>;</w:t>
      </w:r>
      <w:r>
        <w:rPr>
          <w:lang w:val="en-GB"/>
        </w:rPr>
        <w:t xml:space="preserve"> </w:t>
      </w:r>
      <w:r w:rsidR="00514D36">
        <w:rPr>
          <w:lang w:val="en-GB"/>
        </w:rPr>
        <w:t>it is</w:t>
      </w:r>
      <w:r>
        <w:rPr>
          <w:lang w:val="en-GB"/>
        </w:rPr>
        <w:t xml:space="preserve"> left to the network to change the </w:t>
      </w:r>
      <w:r w:rsidR="00514D36">
        <w:rPr>
          <w:lang w:val="en-GB"/>
        </w:rPr>
        <w:t xml:space="preserve">Active UL </w:t>
      </w:r>
      <w:r>
        <w:rPr>
          <w:lang w:val="en-GB"/>
        </w:rPr>
        <w:t xml:space="preserve">BWP </w:t>
      </w:r>
      <w:r w:rsidR="00514D36">
        <w:rPr>
          <w:lang w:val="en-GB"/>
        </w:rPr>
        <w:t>after the completion of the RACH procedure</w:t>
      </w:r>
      <w:r>
        <w:rPr>
          <w:lang w:val="en-GB"/>
        </w:rPr>
        <w:t>.</w:t>
      </w:r>
    </w:p>
    <w:p w:rsidR="00850DA9" w:rsidRPr="00B00AC9" w:rsidRDefault="00850DA9" w:rsidP="00904938">
      <w:pPr>
        <w:rPr>
          <w:b/>
          <w:lang w:val="en-GB"/>
        </w:rPr>
      </w:pPr>
      <w:r w:rsidRPr="00B00AC9">
        <w:rPr>
          <w:b/>
          <w:lang w:val="en-GB"/>
        </w:rPr>
        <w:t xml:space="preserve">Proposal </w:t>
      </w:r>
      <w:r w:rsidR="00984D7F">
        <w:rPr>
          <w:b/>
          <w:lang w:val="en-GB"/>
        </w:rPr>
        <w:t>3</w:t>
      </w:r>
      <w:r w:rsidRPr="00B00AC9">
        <w:rPr>
          <w:b/>
          <w:lang w:val="en-GB"/>
        </w:rPr>
        <w:t xml:space="preserve">: UE switches the </w:t>
      </w:r>
      <w:r w:rsidR="00514D36">
        <w:rPr>
          <w:b/>
          <w:lang w:val="en-GB"/>
        </w:rPr>
        <w:t xml:space="preserve">Active UL </w:t>
      </w:r>
      <w:r w:rsidRPr="00B00AC9">
        <w:rPr>
          <w:b/>
          <w:lang w:val="en-GB"/>
        </w:rPr>
        <w:t xml:space="preserve">BWP </w:t>
      </w:r>
      <w:r w:rsidR="00514D36">
        <w:rPr>
          <w:b/>
          <w:lang w:val="en-GB"/>
        </w:rPr>
        <w:t xml:space="preserve">to </w:t>
      </w:r>
      <w:r w:rsidRPr="00B00AC9">
        <w:rPr>
          <w:b/>
          <w:lang w:val="en-GB"/>
        </w:rPr>
        <w:t>where the CCA succeeded.</w:t>
      </w:r>
    </w:p>
    <w:p w:rsidR="00F37196" w:rsidRDefault="00B00AC9" w:rsidP="00BB152E">
      <w:pPr>
        <w:pStyle w:val="Heading2"/>
        <w:rPr>
          <w:lang w:val="en-GB"/>
        </w:rPr>
      </w:pPr>
      <w:r>
        <w:rPr>
          <w:lang w:val="en-GB"/>
        </w:rPr>
        <w:t>Msg2/RAR</w:t>
      </w:r>
    </w:p>
    <w:p w:rsidR="00B00AC9" w:rsidRPr="00BB152E" w:rsidRDefault="00BB152E" w:rsidP="00F37196">
      <w:pPr>
        <w:rPr>
          <w:lang w:val="en-GB"/>
        </w:rPr>
      </w:pPr>
      <w:r w:rsidRPr="00BB152E">
        <w:rPr>
          <w:lang w:val="en-GB"/>
        </w:rPr>
        <w:t xml:space="preserve">On similar lines it is helpful if the Msg2/RAR could be transmitted by the gNB on any DL BWP where the CCA succeeds; however, this may go against the principle of one Active (DL/UL) BWP if the UE </w:t>
      </w:r>
      <w:r w:rsidR="00514D36">
        <w:rPr>
          <w:lang w:val="en-GB"/>
        </w:rPr>
        <w:t>is</w:t>
      </w:r>
      <w:r w:rsidRPr="00BB152E">
        <w:rPr>
          <w:lang w:val="en-GB"/>
        </w:rPr>
        <w:t xml:space="preserve"> to monitor more than one DL BWP during a corresponding RAR window. We may however confirm with RAN1</w:t>
      </w:r>
      <w:r w:rsidR="001053B1">
        <w:rPr>
          <w:lang w:val="en-GB"/>
        </w:rPr>
        <w:t>/RAN4</w:t>
      </w:r>
      <w:r w:rsidRPr="00BB152E">
        <w:rPr>
          <w:lang w:val="en-GB"/>
        </w:rPr>
        <w:t xml:space="preserve"> if this is really the case.</w:t>
      </w:r>
    </w:p>
    <w:p w:rsidR="00BB152E" w:rsidRDefault="00BB152E" w:rsidP="00F37196">
      <w:pPr>
        <w:rPr>
          <w:b/>
          <w:lang w:val="en-GB"/>
        </w:rPr>
      </w:pPr>
      <w:r>
        <w:rPr>
          <w:b/>
          <w:lang w:val="en-GB"/>
        </w:rPr>
        <w:t xml:space="preserve">Proposal </w:t>
      </w:r>
      <w:r w:rsidR="00984D7F">
        <w:rPr>
          <w:b/>
          <w:lang w:val="en-GB"/>
        </w:rPr>
        <w:t>4</w:t>
      </w:r>
      <w:r>
        <w:rPr>
          <w:b/>
          <w:lang w:val="en-GB"/>
        </w:rPr>
        <w:t>: Confirm with RAN</w:t>
      </w:r>
      <w:r w:rsidRPr="00514D36">
        <w:rPr>
          <w:b/>
          <w:lang w:val="en-GB"/>
        </w:rPr>
        <w:t>1</w:t>
      </w:r>
      <w:r w:rsidR="001053B1" w:rsidRPr="00514D36">
        <w:rPr>
          <w:b/>
          <w:lang w:val="en-GB"/>
        </w:rPr>
        <w:t>/RAN4</w:t>
      </w:r>
      <w:r>
        <w:rPr>
          <w:b/>
          <w:lang w:val="en-GB"/>
        </w:rPr>
        <w:t xml:space="preserve"> </w:t>
      </w:r>
      <w:r w:rsidR="00984D7F">
        <w:rPr>
          <w:b/>
          <w:lang w:val="en-GB"/>
        </w:rPr>
        <w:t>whether monitoring</w:t>
      </w:r>
      <w:r w:rsidR="00984D7F" w:rsidRPr="00920182">
        <w:rPr>
          <w:b/>
          <w:lang w:val="en-GB"/>
        </w:rPr>
        <w:t xml:space="preserve"> more than one </w:t>
      </w:r>
      <w:r w:rsidR="00984D7F">
        <w:rPr>
          <w:b/>
          <w:lang w:val="en-GB"/>
        </w:rPr>
        <w:t xml:space="preserve">DL </w:t>
      </w:r>
      <w:r w:rsidR="00984D7F" w:rsidRPr="00920182">
        <w:rPr>
          <w:b/>
          <w:lang w:val="en-GB"/>
        </w:rPr>
        <w:t xml:space="preserve">BWP </w:t>
      </w:r>
      <w:r>
        <w:rPr>
          <w:b/>
          <w:lang w:val="en-GB"/>
        </w:rPr>
        <w:t>during a corresponding RAR window</w:t>
      </w:r>
      <w:r w:rsidR="00984D7F" w:rsidRPr="00984D7F">
        <w:rPr>
          <w:b/>
          <w:lang w:val="en-GB"/>
        </w:rPr>
        <w:t xml:space="preserve"> </w:t>
      </w:r>
      <w:r w:rsidR="00984D7F">
        <w:rPr>
          <w:b/>
          <w:lang w:val="en-GB"/>
        </w:rPr>
        <w:t>is feasible.</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sidRPr="00984D7F">
        <w:rPr>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B4E6F" w:rsidRDefault="00DB4E6F" w:rsidP="00DB4E6F">
      <w:pPr>
        <w:rPr>
          <w:b/>
          <w:lang w:val="en-GB"/>
        </w:rPr>
      </w:pPr>
      <w:r w:rsidRPr="00920182">
        <w:rPr>
          <w:b/>
          <w:lang w:val="en-GB"/>
        </w:rPr>
        <w:t xml:space="preserve">Proposal </w:t>
      </w:r>
      <w:r>
        <w:rPr>
          <w:b/>
          <w:lang w:val="en-GB"/>
        </w:rPr>
        <w:t>1</w:t>
      </w:r>
      <w:r w:rsidRPr="00920182">
        <w:rPr>
          <w:b/>
          <w:lang w:val="en-GB"/>
        </w:rPr>
        <w:t xml:space="preserve">: </w:t>
      </w:r>
      <w:r>
        <w:rPr>
          <w:b/>
          <w:lang w:val="en-GB"/>
        </w:rPr>
        <w:t>C</w:t>
      </w:r>
      <w:r w:rsidRPr="00920182">
        <w:rPr>
          <w:b/>
          <w:lang w:val="en-GB"/>
        </w:rPr>
        <w:t xml:space="preserve">onfirm </w:t>
      </w:r>
      <w:r>
        <w:rPr>
          <w:b/>
          <w:lang w:val="en-GB"/>
        </w:rPr>
        <w:t>with</w:t>
      </w:r>
      <w:r w:rsidRPr="00920182">
        <w:rPr>
          <w:b/>
          <w:lang w:val="en-GB"/>
        </w:rPr>
        <w:t xml:space="preserve"> RAN1</w:t>
      </w:r>
      <w:r>
        <w:rPr>
          <w:b/>
          <w:lang w:val="en-GB"/>
        </w:rPr>
        <w:t>/</w:t>
      </w:r>
      <w:r w:rsidRPr="001053B1">
        <w:rPr>
          <w:b/>
          <w:lang w:val="en-GB"/>
        </w:rPr>
        <w:t>RAN4</w:t>
      </w:r>
      <w:r w:rsidRPr="00920182">
        <w:rPr>
          <w:b/>
          <w:lang w:val="en-GB"/>
        </w:rPr>
        <w:t xml:space="preserve"> </w:t>
      </w:r>
      <w:r>
        <w:rPr>
          <w:b/>
          <w:lang w:val="en-GB"/>
        </w:rPr>
        <w:t>whether</w:t>
      </w:r>
      <w:r w:rsidRPr="00920182">
        <w:rPr>
          <w:b/>
          <w:lang w:val="en-GB"/>
        </w:rPr>
        <w:t xml:space="preserve"> performing LBT/CCA operation on more than one </w:t>
      </w:r>
      <w:r>
        <w:rPr>
          <w:b/>
          <w:lang w:val="en-GB"/>
        </w:rPr>
        <w:t xml:space="preserve">UL </w:t>
      </w:r>
      <w:r w:rsidRPr="00920182">
        <w:rPr>
          <w:b/>
          <w:lang w:val="en-GB"/>
        </w:rPr>
        <w:t xml:space="preserve">BWP </w:t>
      </w:r>
      <w:r>
        <w:rPr>
          <w:b/>
          <w:lang w:val="en-GB"/>
        </w:rPr>
        <w:t>is feasible.</w:t>
      </w:r>
      <w:r w:rsidRPr="00B00AC9">
        <w:rPr>
          <w:b/>
          <w:lang w:val="en-GB"/>
        </w:rPr>
        <w:t xml:space="preserve"> </w:t>
      </w:r>
    </w:p>
    <w:p w:rsidR="00DB4E6F" w:rsidRPr="00B00AC9" w:rsidRDefault="00DB4E6F" w:rsidP="00DB4E6F">
      <w:pPr>
        <w:rPr>
          <w:b/>
          <w:lang w:val="en-GB"/>
        </w:rPr>
      </w:pPr>
      <w:r w:rsidRPr="00B00AC9">
        <w:rPr>
          <w:b/>
          <w:lang w:val="en-GB"/>
        </w:rPr>
        <w:t xml:space="preserve">Proposal </w:t>
      </w:r>
      <w:r>
        <w:rPr>
          <w:b/>
          <w:lang w:val="en-GB"/>
        </w:rPr>
        <w:t>2</w:t>
      </w:r>
      <w:r w:rsidRPr="00B00AC9">
        <w:rPr>
          <w:b/>
          <w:lang w:val="en-GB"/>
        </w:rPr>
        <w:t xml:space="preserve">: A UE may perform CCA/LBT </w:t>
      </w:r>
      <w:r>
        <w:rPr>
          <w:b/>
          <w:lang w:val="en-GB"/>
        </w:rPr>
        <w:t xml:space="preserve">for Msg 1 </w:t>
      </w:r>
      <w:r w:rsidRPr="00B00AC9">
        <w:rPr>
          <w:b/>
          <w:lang w:val="en-GB"/>
        </w:rPr>
        <w:t xml:space="preserve">on any configured </w:t>
      </w:r>
      <w:r>
        <w:rPr>
          <w:b/>
          <w:lang w:val="en-GB"/>
        </w:rPr>
        <w:t xml:space="preserve">UL </w:t>
      </w:r>
      <w:r w:rsidRPr="00B00AC9">
        <w:rPr>
          <w:b/>
          <w:lang w:val="en-GB"/>
        </w:rPr>
        <w:t>BWP.</w:t>
      </w:r>
    </w:p>
    <w:p w:rsidR="00DB4E6F" w:rsidRPr="00B00AC9" w:rsidRDefault="00DB4E6F" w:rsidP="00DB4E6F">
      <w:pPr>
        <w:rPr>
          <w:b/>
          <w:lang w:val="en-GB"/>
        </w:rPr>
      </w:pPr>
      <w:r w:rsidRPr="00B00AC9">
        <w:rPr>
          <w:b/>
          <w:lang w:val="en-GB"/>
        </w:rPr>
        <w:t xml:space="preserve">Proposal </w:t>
      </w:r>
      <w:r>
        <w:rPr>
          <w:b/>
          <w:lang w:val="en-GB"/>
        </w:rPr>
        <w:t>3</w:t>
      </w:r>
      <w:r w:rsidRPr="00B00AC9">
        <w:rPr>
          <w:b/>
          <w:lang w:val="en-GB"/>
        </w:rPr>
        <w:t xml:space="preserve">: UE switches the </w:t>
      </w:r>
      <w:r>
        <w:rPr>
          <w:b/>
          <w:lang w:val="en-GB"/>
        </w:rPr>
        <w:t xml:space="preserve">Active UL </w:t>
      </w:r>
      <w:r w:rsidRPr="00B00AC9">
        <w:rPr>
          <w:b/>
          <w:lang w:val="en-GB"/>
        </w:rPr>
        <w:t xml:space="preserve">BWP </w:t>
      </w:r>
      <w:r>
        <w:rPr>
          <w:b/>
          <w:lang w:val="en-GB"/>
        </w:rPr>
        <w:t xml:space="preserve">to </w:t>
      </w:r>
      <w:r w:rsidRPr="00B00AC9">
        <w:rPr>
          <w:b/>
          <w:lang w:val="en-GB"/>
        </w:rPr>
        <w:t>where the CCA succeeded.</w:t>
      </w:r>
    </w:p>
    <w:p w:rsidR="00DB4E6F" w:rsidRDefault="00DB4E6F" w:rsidP="00DB4E6F">
      <w:pPr>
        <w:rPr>
          <w:b/>
          <w:lang w:val="en-GB"/>
        </w:rPr>
      </w:pPr>
      <w:r>
        <w:rPr>
          <w:b/>
          <w:lang w:val="en-GB"/>
        </w:rPr>
        <w:t>Proposal 4: Confirm with RAN</w:t>
      </w:r>
      <w:r w:rsidRPr="00514D36">
        <w:rPr>
          <w:b/>
          <w:lang w:val="en-GB"/>
        </w:rPr>
        <w:t>1/RAN4</w:t>
      </w:r>
      <w:r>
        <w:rPr>
          <w:b/>
          <w:lang w:val="en-GB"/>
        </w:rPr>
        <w:t xml:space="preserve"> whether monitoring</w:t>
      </w:r>
      <w:r w:rsidRPr="00920182">
        <w:rPr>
          <w:b/>
          <w:lang w:val="en-GB"/>
        </w:rPr>
        <w:t xml:space="preserve"> more than one </w:t>
      </w:r>
      <w:r>
        <w:rPr>
          <w:b/>
          <w:lang w:val="en-GB"/>
        </w:rPr>
        <w:t xml:space="preserve">DL </w:t>
      </w:r>
      <w:r w:rsidRPr="00920182">
        <w:rPr>
          <w:b/>
          <w:lang w:val="en-GB"/>
        </w:rPr>
        <w:t xml:space="preserve">BWP </w:t>
      </w:r>
      <w:r>
        <w:rPr>
          <w:b/>
          <w:lang w:val="en-GB"/>
        </w:rPr>
        <w:t>during a corresponding RAR window</w:t>
      </w:r>
      <w:r w:rsidRPr="00984D7F">
        <w:rPr>
          <w:b/>
          <w:lang w:val="en-GB"/>
        </w:rPr>
        <w:t xml:space="preserve"> </w:t>
      </w:r>
      <w:r>
        <w:rPr>
          <w:b/>
          <w:lang w:val="en-GB"/>
        </w:rPr>
        <w:t>is feasible.</w:t>
      </w:r>
    </w:p>
    <w:p w:rsidR="001643EF" w:rsidRPr="00CB61D7" w:rsidRDefault="001643EF" w:rsidP="00305664">
      <w:pPr>
        <w:rPr>
          <w:b/>
          <w:lang w:val="en-GB"/>
        </w:rPr>
      </w:pP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C61" w:rsidRDefault="00D32C61">
      <w:r>
        <w:separator/>
      </w:r>
    </w:p>
  </w:endnote>
  <w:endnote w:type="continuationSeparator" w:id="0">
    <w:p w:rsidR="00D32C61" w:rsidRDefault="00D3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C61" w:rsidRDefault="00D32C61">
      <w:r>
        <w:separator/>
      </w:r>
    </w:p>
  </w:footnote>
  <w:footnote w:type="continuationSeparator" w:id="0">
    <w:p w:rsidR="00D32C61" w:rsidRDefault="00D32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6"/>
  </w:num>
  <w:num w:numId="3">
    <w:abstractNumId w:val="21"/>
  </w:num>
  <w:num w:numId="4">
    <w:abstractNumId w:val="16"/>
  </w:num>
  <w:num w:numId="5">
    <w:abstractNumId w:val="13"/>
  </w:num>
  <w:num w:numId="6">
    <w:abstractNumId w:val="27"/>
  </w:num>
  <w:num w:numId="7">
    <w:abstractNumId w:val="14"/>
  </w:num>
  <w:num w:numId="8">
    <w:abstractNumId w:val="12"/>
  </w:num>
  <w:num w:numId="9">
    <w:abstractNumId w:val="24"/>
  </w:num>
  <w:num w:numId="10">
    <w:abstractNumId w:val="11"/>
  </w:num>
  <w:num w:numId="11">
    <w:abstractNumId w:val="3"/>
  </w:num>
  <w:num w:numId="12">
    <w:abstractNumId w:val="23"/>
  </w:num>
  <w:num w:numId="13">
    <w:abstractNumId w:val="7"/>
  </w:num>
  <w:num w:numId="14">
    <w:abstractNumId w:val="15"/>
  </w:num>
  <w:num w:numId="15">
    <w:abstractNumId w:val="3"/>
  </w:num>
  <w:num w:numId="16">
    <w:abstractNumId w:val="3"/>
  </w:num>
  <w:num w:numId="17">
    <w:abstractNumId w:val="2"/>
  </w:num>
  <w:num w:numId="18">
    <w:abstractNumId w:val="10"/>
  </w:num>
  <w:num w:numId="19">
    <w:abstractNumId w:val="17"/>
  </w:num>
  <w:num w:numId="20">
    <w:abstractNumId w:val="19"/>
  </w:num>
  <w:num w:numId="21">
    <w:abstractNumId w:val="9"/>
  </w:num>
  <w:num w:numId="22">
    <w:abstractNumId w:val="18"/>
  </w:num>
  <w:num w:numId="23">
    <w:abstractNumId w:val="0"/>
  </w:num>
  <w:num w:numId="24">
    <w:abstractNumId w:val="8"/>
  </w:num>
  <w:num w:numId="25">
    <w:abstractNumId w:val="22"/>
  </w:num>
  <w:num w:numId="26">
    <w:abstractNumId w:val="20"/>
  </w:num>
  <w:num w:numId="27">
    <w:abstractNumId w:val="6"/>
  </w:num>
  <w:num w:numId="28">
    <w:abstractNumId w:val="5"/>
  </w:num>
  <w:num w:numId="29">
    <w:abstractNumId w:val="4"/>
  </w:num>
  <w:num w:numId="30">
    <w:abstractNumId w:val="25"/>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C3D0421"/>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21C61-5A0A-4663-B297-A4F49353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10</cp:revision>
  <cp:lastPrinted>2016-08-12T06:06:00Z</cp:lastPrinted>
  <dcterms:created xsi:type="dcterms:W3CDTF">2019-02-14T13:21:00Z</dcterms:created>
  <dcterms:modified xsi:type="dcterms:W3CDTF">2019-05-02T15:24:00Z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